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adjustRightInd/>
        <w:snapToGrid/>
        <w:spacing w:line="620" w:lineRule="exact"/>
        <w:rPr>
          <w:rFonts w:hint="eastAsia" w:ascii="黑体" w:eastAsia="黑体" w:cs="黑体"/>
          <w:sz w:val="32"/>
          <w:szCs w:val="32"/>
          <w:lang w:val="en-US" w:eastAsia="zh-CN" w:bidi="ar-SA"/>
        </w:rPr>
      </w:pPr>
      <w:r>
        <w:rPr>
          <w:rFonts w:hint="eastAsia" w:ascii="黑体" w:eastAsia="黑体" w:cs="黑体"/>
          <w:sz w:val="32"/>
          <w:szCs w:val="32"/>
          <w:lang w:eastAsia="zh-CN" w:bidi="ar-SA"/>
        </w:rPr>
        <w:t>附件</w:t>
      </w:r>
      <w:r>
        <w:rPr>
          <w:rFonts w:hint="eastAsia" w:ascii="黑体" w:eastAsia="黑体" w:cs="黑体"/>
          <w:sz w:val="32"/>
          <w:szCs w:val="32"/>
          <w:lang w:val="en-US" w:eastAsia="zh-CN" w:bidi="ar-SA"/>
        </w:rPr>
        <w:t>1</w:t>
      </w:r>
    </w:p>
    <w:p>
      <w:pPr>
        <w:pStyle w:val="5"/>
        <w:keepNext w:val="0"/>
        <w:keepLines w:val="0"/>
        <w:pageBreakBefore w:val="0"/>
        <w:widowControl w:val="0"/>
        <w:spacing w:line="620" w:lineRule="exact"/>
      </w:pPr>
    </w:p>
    <w:p>
      <w:pPr>
        <w:keepNext w:val="0"/>
        <w:keepLines w:val="0"/>
        <w:pageBreakBefore w:val="0"/>
        <w:widowControl w:val="0"/>
        <w:kinsoku/>
        <w:wordWrap/>
        <w:overflowPunct/>
        <w:topLinePunct w:val="0"/>
        <w:autoSpaceDE/>
        <w:autoSpaceDN/>
        <w:adjustRightInd/>
        <w:snapToGrid/>
        <w:spacing w:line="620" w:lineRule="exact"/>
        <w:jc w:val="center"/>
        <w:rPr>
          <w:rFonts w:hint="eastAsia" w:ascii="方正小标宋简体" w:eastAsia="方正小标宋简体" w:cs="黑体"/>
          <w:sz w:val="44"/>
          <w:szCs w:val="44"/>
          <w:lang w:val="en-US" w:eastAsia="zh-CN" w:bidi="ar-SA"/>
        </w:rPr>
      </w:pPr>
      <w:r>
        <w:rPr>
          <w:rFonts w:hint="eastAsia" w:ascii="方正小标宋简体" w:eastAsia="方正小标宋简体" w:cs="黑体"/>
          <w:sz w:val="44"/>
          <w:szCs w:val="44"/>
          <w:lang w:val="en-US" w:eastAsia="zh-CN" w:bidi="ar-SA"/>
        </w:rPr>
        <w:t>专项课题选题范围</w:t>
      </w:r>
    </w:p>
    <w:p>
      <w:pPr>
        <w:pStyle w:val="5"/>
        <w:spacing w:line="620" w:lineRule="exact"/>
        <w:rPr>
          <w:rFonts w:hint="eastAsia"/>
          <w:lang w:val="en-US" w:eastAsia="zh-CN"/>
        </w:rPr>
      </w:pPr>
    </w:p>
    <w:p>
      <w:pPr>
        <w:keepNext w:val="0"/>
        <w:keepLines w:val="0"/>
        <w:pageBreakBefore w:val="0"/>
        <w:widowControl w:val="0"/>
        <w:numPr>
          <w:ilvl w:val="0"/>
          <w:numId w:val="1"/>
        </w:numPr>
        <w:tabs>
          <w:tab w:val="left" w:pos="227"/>
          <w:tab w:val="left" w:pos="283"/>
        </w:tabs>
        <w:kinsoku/>
        <w:wordWrap/>
        <w:overflowPunct/>
        <w:topLinePunct w:val="0"/>
        <w:autoSpaceDE/>
        <w:autoSpaceDN/>
        <w:adjustRightInd/>
        <w:snapToGrid/>
        <w:spacing w:line="560"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中国式现代化道路在甘肃的实践历程和基本经验研究</w:t>
      </w:r>
    </w:p>
    <w:p>
      <w:pPr>
        <w:keepNext w:val="0"/>
        <w:keepLines w:val="0"/>
        <w:pageBreakBefore w:val="0"/>
        <w:widowControl w:val="0"/>
        <w:numPr>
          <w:ilvl w:val="0"/>
          <w:numId w:val="1"/>
        </w:numPr>
        <w:tabs>
          <w:tab w:val="left" w:pos="227"/>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*甘肃</w:t>
      </w:r>
      <w:r>
        <w:rPr>
          <w:rFonts w:hint="eastAsia" w:ascii="仿宋_GB2312" w:eastAsia="仿宋_GB2312" w:cs="仿宋_GB2312"/>
          <w:sz w:val="32"/>
          <w:szCs w:val="32"/>
          <w:lang w:bidi="ar-SA"/>
        </w:rPr>
        <w:t>加强专业化党务工作队伍建设研究</w:t>
      </w:r>
    </w:p>
    <w:p>
      <w:pPr>
        <w:keepNext w:val="0"/>
        <w:keepLines w:val="0"/>
        <w:pageBreakBefore w:val="0"/>
        <w:widowControl w:val="0"/>
        <w:numPr>
          <w:ilvl w:val="0"/>
          <w:numId w:val="1"/>
        </w:numPr>
        <w:tabs>
          <w:tab w:val="left" w:pos="227"/>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*甘肃提升基层党组织组织力的策略研究</w:t>
      </w:r>
    </w:p>
    <w:p>
      <w:pPr>
        <w:keepNext w:val="0"/>
        <w:keepLines w:val="0"/>
        <w:pageBreakBefore w:val="0"/>
        <w:widowControl w:val="0"/>
        <w:numPr>
          <w:ilvl w:val="0"/>
          <w:numId w:val="1"/>
        </w:numPr>
        <w:tabs>
          <w:tab w:val="left" w:pos="227"/>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*甘肃落实以人民为中心发展思想的路径研究</w:t>
      </w:r>
    </w:p>
    <w:p>
      <w:pPr>
        <w:keepNext w:val="0"/>
        <w:keepLines w:val="0"/>
        <w:pageBreakBefore w:val="0"/>
        <w:widowControl w:val="0"/>
        <w:numPr>
          <w:ilvl w:val="0"/>
          <w:numId w:val="1"/>
        </w:numPr>
        <w:tabs>
          <w:tab w:val="left" w:pos="227"/>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*大数据背景下加强甘肃高校宣传思想工作的方式方法研究</w:t>
      </w:r>
    </w:p>
    <w:p>
      <w:pPr>
        <w:keepNext w:val="0"/>
        <w:keepLines w:val="0"/>
        <w:pageBreakBefore w:val="0"/>
        <w:widowControl w:val="0"/>
        <w:numPr>
          <w:ilvl w:val="0"/>
          <w:numId w:val="1"/>
        </w:numPr>
        <w:tabs>
          <w:tab w:val="left" w:pos="227"/>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*甘肃落实全过程人民民主的方式和路径研究</w:t>
      </w:r>
    </w:p>
    <w:p>
      <w:pPr>
        <w:keepNext w:val="0"/>
        <w:keepLines w:val="0"/>
        <w:pageBreakBefore w:val="0"/>
        <w:widowControl w:val="0"/>
        <w:numPr>
          <w:ilvl w:val="0"/>
          <w:numId w:val="1"/>
        </w:numPr>
        <w:tabs>
          <w:tab w:val="left" w:pos="227"/>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*新发展格局构建中甘肃新机遇研究</w:t>
      </w:r>
    </w:p>
    <w:p>
      <w:pPr>
        <w:keepNext w:val="0"/>
        <w:keepLines w:val="0"/>
        <w:pageBreakBefore w:val="0"/>
        <w:widowControl w:val="0"/>
        <w:numPr>
          <w:ilvl w:val="0"/>
          <w:numId w:val="1"/>
        </w:numPr>
        <w:tabs>
          <w:tab w:val="left" w:pos="227"/>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新时代我省扩大内需的新举措研究</w:t>
      </w:r>
    </w:p>
    <w:p>
      <w:pPr>
        <w:keepNext w:val="0"/>
        <w:keepLines w:val="0"/>
        <w:pageBreakBefore w:val="0"/>
        <w:widowControl w:val="0"/>
        <w:numPr>
          <w:ilvl w:val="0"/>
          <w:numId w:val="1"/>
        </w:numPr>
        <w:tabs>
          <w:tab w:val="left" w:pos="227"/>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甘肃高质量发展的内生动力研究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*甘肃实施人才强省的战略研究</w:t>
      </w:r>
    </w:p>
    <w:p>
      <w:pPr>
        <w:keepNext w:val="0"/>
        <w:keepLines w:val="0"/>
        <w:pageBreakBefore w:val="0"/>
        <w:widowControl w:val="0"/>
        <w:numPr>
          <w:ilvl w:val="0"/>
          <w:numId w:val="1"/>
        </w:numPr>
        <w:tabs>
          <w:tab w:val="left" w:pos="227"/>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*甘肃优势产业发展对策研究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甘肃数字社会建设研究</w:t>
      </w:r>
    </w:p>
    <w:p>
      <w:pPr>
        <w:keepNext w:val="0"/>
        <w:keepLines w:val="0"/>
        <w:pageBreakBefore w:val="0"/>
        <w:widowControl w:val="0"/>
        <w:numPr>
          <w:ilvl w:val="0"/>
          <w:numId w:val="1"/>
        </w:numPr>
        <w:tabs>
          <w:tab w:val="left" w:pos="227"/>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*实施创新驱动战略，推进“科技强省”走深走实的新举措研究</w:t>
      </w:r>
    </w:p>
    <w:p>
      <w:pPr>
        <w:keepNext w:val="0"/>
        <w:keepLines w:val="0"/>
        <w:pageBreakBefore w:val="0"/>
        <w:widowControl w:val="0"/>
        <w:numPr>
          <w:ilvl w:val="0"/>
          <w:numId w:val="1"/>
        </w:numPr>
        <w:tabs>
          <w:tab w:val="left" w:pos="227"/>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*兰白实验区和自创区引领甘肃省“强科技”行动研究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*甘肃推进全面乡村振兴的对策研究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*甘肃相对贫困治理的长效机制研究</w:t>
      </w:r>
    </w:p>
    <w:p>
      <w:pPr>
        <w:keepNext w:val="0"/>
        <w:keepLines w:val="0"/>
        <w:pageBreakBefore w:val="0"/>
        <w:widowControl w:val="0"/>
        <w:numPr>
          <w:ilvl w:val="0"/>
          <w:numId w:val="1"/>
        </w:numPr>
        <w:tabs>
          <w:tab w:val="left" w:pos="227"/>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*新时代甘肃促进乡村特色产业高质量发展的重点、问题与路径研究</w:t>
      </w:r>
    </w:p>
    <w:p>
      <w:pPr>
        <w:keepNext w:val="0"/>
        <w:keepLines w:val="0"/>
        <w:pageBreakBefore w:val="0"/>
        <w:widowControl w:val="0"/>
        <w:numPr>
          <w:ilvl w:val="0"/>
          <w:numId w:val="1"/>
        </w:numPr>
        <w:tabs>
          <w:tab w:val="left" w:pos="227"/>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甘肃农业高质量发展与品牌培育提升路径研究</w:t>
      </w:r>
    </w:p>
    <w:p>
      <w:pPr>
        <w:keepNext w:val="0"/>
        <w:keepLines w:val="0"/>
        <w:pageBreakBefore w:val="0"/>
        <w:widowControl w:val="0"/>
        <w:numPr>
          <w:ilvl w:val="0"/>
          <w:numId w:val="1"/>
        </w:numPr>
        <w:tabs>
          <w:tab w:val="left" w:pos="227"/>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抢抓高质量共建“一带一路”机遇，加快建设我省高水平开放性经济新体制的对策研究</w:t>
      </w:r>
    </w:p>
    <w:p>
      <w:pPr>
        <w:keepNext w:val="0"/>
        <w:keepLines w:val="0"/>
        <w:pageBreakBefore w:val="0"/>
        <w:widowControl w:val="0"/>
        <w:numPr>
          <w:ilvl w:val="0"/>
          <w:numId w:val="1"/>
        </w:numPr>
        <w:tabs>
          <w:tab w:val="left" w:pos="227"/>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*甘肃省提升战略性资源保供能力的主要着力点与实施路径研究</w:t>
      </w:r>
    </w:p>
    <w:p>
      <w:pPr>
        <w:keepNext w:val="0"/>
        <w:keepLines w:val="0"/>
        <w:pageBreakBefore w:val="0"/>
        <w:widowControl w:val="0"/>
        <w:numPr>
          <w:ilvl w:val="0"/>
          <w:numId w:val="1"/>
        </w:numPr>
        <w:tabs>
          <w:tab w:val="left" w:pos="227"/>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推进我省国有资本和国有企业做强做优做大的政策体系研究</w:t>
      </w:r>
    </w:p>
    <w:p>
      <w:pPr>
        <w:keepNext w:val="0"/>
        <w:keepLines w:val="0"/>
        <w:pageBreakBefore w:val="0"/>
        <w:widowControl w:val="0"/>
        <w:numPr>
          <w:ilvl w:val="0"/>
          <w:numId w:val="1"/>
        </w:numPr>
        <w:tabs>
          <w:tab w:val="left" w:pos="227"/>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*优化民营经济发展环境，促进我省民营经济壮大发展的体制障碍与对策研究</w:t>
      </w:r>
    </w:p>
    <w:p>
      <w:pPr>
        <w:keepNext w:val="0"/>
        <w:keepLines w:val="0"/>
        <w:pageBreakBefore w:val="0"/>
        <w:widowControl w:val="0"/>
        <w:numPr>
          <w:ilvl w:val="0"/>
          <w:numId w:val="1"/>
        </w:numPr>
        <w:tabs>
          <w:tab w:val="left" w:pos="227"/>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推进甘肃制造业 “三化”融合发展的对策与途径研究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*“双碳”背景下甘肃生态治理的体制机制研究</w:t>
      </w:r>
    </w:p>
    <w:p>
      <w:pPr>
        <w:keepNext w:val="0"/>
        <w:keepLines w:val="0"/>
        <w:pageBreakBefore w:val="0"/>
        <w:widowControl w:val="0"/>
        <w:numPr>
          <w:ilvl w:val="0"/>
          <w:numId w:val="1"/>
        </w:numPr>
        <w:tabs>
          <w:tab w:val="left" w:pos="227"/>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“两山理论”与甘肃推动生态产品价值实现机制与路径研究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黄河甘肃段生态环境改善与区域经济协同发展研究</w:t>
      </w:r>
    </w:p>
    <w:p>
      <w:pPr>
        <w:keepNext w:val="0"/>
        <w:keepLines w:val="0"/>
        <w:pageBreakBefore w:val="0"/>
        <w:widowControl w:val="0"/>
        <w:numPr>
          <w:ilvl w:val="0"/>
          <w:numId w:val="1"/>
        </w:numPr>
        <w:tabs>
          <w:tab w:val="left" w:pos="227"/>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*甘肃进城落户农民合法权益保护对策研究</w:t>
      </w:r>
    </w:p>
    <w:p>
      <w:pPr>
        <w:keepNext w:val="0"/>
        <w:keepLines w:val="0"/>
        <w:pageBreakBefore w:val="0"/>
        <w:widowControl w:val="0"/>
        <w:numPr>
          <w:ilvl w:val="0"/>
          <w:numId w:val="1"/>
        </w:numPr>
        <w:tabs>
          <w:tab w:val="left" w:pos="227"/>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甘肃健全学校家庭社会育人机制研究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甘肃推进安全体系和能力现代化研究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*建设高水平平安甘肃对策研究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*甘肃基层治理平台建设对策研究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甘肃构建第三次分配协调配套制度研究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*甘肃完善重点群体就业支持体系研究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*甘肃保障灵活就业和新就业形态劳动者权益保护对策研究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甘肃建立长期老年护理保险制度研究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*甘肃建立多主体供给、多渠道保障、租购并举住房制度研究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*甘肃推进基本公共服务均等化、可及性对策研究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*甘肃高质量发展中</w:t>
      </w:r>
      <w:r>
        <w:rPr>
          <w:rFonts w:hint="eastAsia" w:ascii="仿宋_GB2312" w:eastAsia="仿宋_GB2312" w:cs="仿宋_GB2312"/>
          <w:sz w:val="32"/>
          <w:szCs w:val="32"/>
          <w:lang w:bidi="ar-SA"/>
        </w:rPr>
        <w:t>防范</w:t>
      </w:r>
      <w:r>
        <w:rPr>
          <w:rFonts w:hint="eastAsia" w:ascii="仿宋_GB2312" w:eastAsia="仿宋_GB2312" w:cs="仿宋_GB2312"/>
          <w:sz w:val="32"/>
          <w:szCs w:val="32"/>
          <w:lang w:val="en-US" w:eastAsia="zh-CN" w:bidi="ar-SA"/>
        </w:rPr>
        <w:t>和</w:t>
      </w:r>
      <w:r>
        <w:rPr>
          <w:rFonts w:hint="eastAsia" w:ascii="仿宋_GB2312" w:eastAsia="仿宋_GB2312" w:cs="仿宋_GB2312"/>
          <w:sz w:val="32"/>
          <w:szCs w:val="32"/>
          <w:lang w:bidi="ar-SA"/>
        </w:rPr>
        <w:t>化解重大风险研究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*增进甘肃民生福祉的方式方法研究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*提升甘肃社会治理效能的方式方法优化研究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*落实甘肃省第十四次党代会精神，繁荣发展甘肃特色优秀文化的路径研究</w:t>
      </w:r>
    </w:p>
    <w:p>
      <w:pPr>
        <w:keepNext w:val="0"/>
        <w:keepLines w:val="0"/>
        <w:pageBreakBefore w:val="0"/>
        <w:widowControl w:val="0"/>
        <w:numPr>
          <w:ilvl w:val="0"/>
          <w:numId w:val="1"/>
        </w:numPr>
        <w:tabs>
          <w:tab w:val="left" w:pos="227"/>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新时代甘肃省文化强省的战略思路与对策研究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甘肃文化走出去的宣传战略研究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*新时期甘肃文物、文化遗址保护的可行性研究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*甘肃文化精品打造的对策研究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丝绸之路甘肃段上的中西文化交流史研究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甘肃考古走出困境的路径研究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新媒体环境下甘肃传统文化的创新研究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河西走廊红色文化旅游创新发展</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*甘肃革命文物中蕴含的建党精神谱系研究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*考古文物所反映的五凉历史文化研究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*整合甘肃学术资源形成秦文化研究的合力研究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汉魏时期金城大族研究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简牍法律文书整理与中华优秀传统法律文化传承研究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丝绸之路黄河渡口遗址调查与保护利用研究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*长城文化资源价值挖掘与人类命运共同体构建</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甘肃非遗资源调研及其现代化传承模式研究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裕固族东乡族保安族优秀历史文化遗产传承发展与铸牢中华民族共同体意识研究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河西走廊世界文明汇通意义研究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“花儿”文献中多民族交往交流交融史证研究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新时代博物馆建设发展及其教育职能强化路径研究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敦煌法文化资源整理与传承研究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甘肃省古代汉简中的法文化研究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黄河文化传承与保护的法治保障机制研究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*推进甘肃省数字法治建设的具体路径研究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*建设甘肃省知识产权港的法治保障机制研究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*甘肃省民营企业权利保护研究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*甘肃省绿色金融发展的法治路径研究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*甘肃省数字法治政府建设的路径研究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甘肃省生态环境保护立法后评估研究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黄河流域甘肃段生态保护立法研究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“风光大省”建设背景下甘肃省碳交易法律制度研究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*甘肃省全面所有自然资源所有权与监管权改革研究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*甘肃省促进“四强”行动的法治保障研究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*加强甘肃省重点领域立法的对策研究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*甘肃省环境司法改革研究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*促进甘肃省乡村振兴的法治保障机制研究</w:t>
      </w:r>
    </w:p>
    <w:p>
      <w:pPr>
        <w:keepNext w:val="0"/>
        <w:keepLines w:val="0"/>
        <w:pageBreakBefore w:val="0"/>
        <w:widowControl w:val="0"/>
        <w:numPr>
          <w:ilvl w:val="0"/>
          <w:numId w:val="1"/>
        </w:numPr>
        <w:tabs>
          <w:tab w:val="left" w:pos="283"/>
        </w:tabs>
        <w:kinsoku/>
        <w:wordWrap/>
        <w:overflowPunct/>
        <w:topLinePunct w:val="0"/>
        <w:autoSpaceDE/>
        <w:autoSpaceDN/>
        <w:bidi w:val="0"/>
        <w:adjustRightInd/>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*社会组织参与社会治理研究</w:t>
      </w:r>
    </w:p>
    <w:p>
      <w:bookmarkStart w:id="0" w:name="_GoBack"/>
      <w:bookmarkEnd w:id="0"/>
    </w:p>
    <w:sectPr>
      <w:pgSz w:w="11906" w:h="16838"/>
      <w:pgMar w:top="1701" w:right="1531" w:bottom="141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DEE8E8"/>
    <w:multiLevelType w:val="singleLevel"/>
    <w:tmpl w:val="F7DEE8E8"/>
    <w:lvl w:ilvl="0" w:tentative="0">
      <w:start w:val="1"/>
      <w:numFmt w:val="decimal"/>
      <w:suff w:val="nothing"/>
      <w:lvlText w:val="%1．"/>
      <w:lvlJc w:val="left"/>
      <w:pPr>
        <w:tabs>
          <w:tab w:val="left" w:pos="0"/>
        </w:tabs>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AAF114"/>
    <w:rsid w:val="FFAAF114"/>
    <w:rsid w:val="FFBF3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customStyle="1" w:styleId="5">
    <w:name w:val="BodyText"/>
    <w:next w:val="2"/>
    <w:qFormat/>
    <w:uiPriority w:val="0"/>
    <w:pPr>
      <w:widowControl w:val="0"/>
      <w:spacing w:after="120" w:line="240" w:lineRule="auto"/>
      <w:jc w:val="both"/>
      <w:textAlignment w:val="baseline"/>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2022-10-21T16:24:00Z</dcterms:created>
  <dc:creator>baixin</dc:creator>
  <cp:lastModifiedBy>baixin</cp:lastModifiedBy>
  <dcterms:modified xsi:type="dcterms:W3CDTF">2022-10-21T16:24:58Z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2052-11.8.2.9346</vt:lpwstr>
  </property>
</Properties>
</file>